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F7" w:rsidRDefault="00B03986" w:rsidP="00536F57">
      <w:pPr>
        <w:jc w:val="right"/>
        <w:rPr>
          <w:noProof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bottomMargin">
              <wp:align>top</wp:align>
            </wp:positionV>
            <wp:extent cx="7549515" cy="68834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stoloxarto_En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21" b="2124"/>
                    <a:stretch/>
                  </pic:blipFill>
                  <pic:spPr bwMode="auto">
                    <a:xfrm>
                      <a:off x="0" y="0"/>
                      <a:ext cx="7549515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11430</wp:posOffset>
            </wp:positionH>
            <wp:positionV relativeFrom="margin">
              <wp:posOffset>-890905</wp:posOffset>
            </wp:positionV>
            <wp:extent cx="7539990" cy="2137410"/>
            <wp:effectExtent l="0" t="0" r="3810" b="0"/>
            <wp:wrapTight wrapText="bothSides">
              <wp:wrapPolygon edited="0">
                <wp:start x="0" y="0"/>
                <wp:lineTo x="0" y="21369"/>
                <wp:lineTo x="21556" y="21369"/>
                <wp:lineTo x="2155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oxarto_En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48"/>
                    <a:stretch/>
                  </pic:blipFill>
                  <pic:spPr bwMode="auto">
                    <a:xfrm>
                      <a:off x="0" y="0"/>
                      <a:ext cx="7539990" cy="213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F57">
        <w:rPr>
          <w:noProof/>
          <w:lang w:val="en-US"/>
        </w:rPr>
        <w:t>Thessaloniki, November 15, 2019</w:t>
      </w:r>
    </w:p>
    <w:p w:rsidR="00536F57" w:rsidRDefault="00536F57">
      <w:pPr>
        <w:rPr>
          <w:noProof/>
          <w:lang w:val="en-US"/>
        </w:rPr>
      </w:pPr>
    </w:p>
    <w:p w:rsidR="00536F57" w:rsidRPr="00B55DAB" w:rsidRDefault="00536F57" w:rsidP="00B55DAB">
      <w:pPr>
        <w:rPr>
          <w:noProof/>
          <w:lang w:val="en-US"/>
        </w:rPr>
      </w:pPr>
      <w:r>
        <w:rPr>
          <w:noProof/>
          <w:lang w:val="en-US"/>
        </w:rPr>
        <w:t xml:space="preserve">To: </w:t>
      </w:r>
      <w:r w:rsidR="00B55DAB" w:rsidRPr="00B55DAB">
        <w:rPr>
          <w:noProof/>
          <w:lang w:val="en-US"/>
        </w:rPr>
        <w:t>Sport Resolutions, UK</w:t>
      </w:r>
    </w:p>
    <w:p w:rsidR="00536F57" w:rsidRDefault="00536F57">
      <w:pPr>
        <w:rPr>
          <w:noProof/>
          <w:lang w:val="en-US"/>
        </w:rPr>
      </w:pPr>
    </w:p>
    <w:p w:rsidR="006076D8" w:rsidRDefault="00536F57" w:rsidP="006076D8">
      <w:pPr>
        <w:jc w:val="both"/>
        <w:rPr>
          <w:noProof/>
          <w:lang w:val="en-US"/>
        </w:rPr>
      </w:pPr>
      <w:r>
        <w:rPr>
          <w:noProof/>
          <w:lang w:val="en-US"/>
        </w:rPr>
        <w:t xml:space="preserve">This is to certify that I fully endorse the </w:t>
      </w:r>
      <w:r w:rsidR="008573F0">
        <w:rPr>
          <w:noProof/>
          <w:lang w:val="en-US"/>
        </w:rPr>
        <w:t>expert</w:t>
      </w:r>
      <w:r>
        <w:rPr>
          <w:noProof/>
          <w:lang w:val="en-US"/>
        </w:rPr>
        <w:t xml:space="preserve"> report </w:t>
      </w:r>
      <w:r w:rsidR="008573F0">
        <w:rPr>
          <w:noProof/>
          <w:lang w:val="en-US"/>
        </w:rPr>
        <w:t xml:space="preserve">of October 25, 2019, about the A and B sample laboratory documentation packages </w:t>
      </w:r>
      <w:r>
        <w:rPr>
          <w:noProof/>
          <w:lang w:val="en-US"/>
        </w:rPr>
        <w:t xml:space="preserve">regarding </w:t>
      </w:r>
      <w:r w:rsidR="00271DB5">
        <w:rPr>
          <w:noProof/>
          <w:lang w:val="en-US"/>
        </w:rPr>
        <w:t xml:space="preserve">the athlete John Kyriazis. In particular, I believe that the tests of </w:t>
      </w:r>
      <w:r w:rsidR="008573F0">
        <w:rPr>
          <w:noProof/>
          <w:lang w:val="en-US"/>
        </w:rPr>
        <w:t xml:space="preserve">his </w:t>
      </w:r>
      <w:r w:rsidR="00271DB5">
        <w:rPr>
          <w:noProof/>
          <w:lang w:val="en-US"/>
        </w:rPr>
        <w:t xml:space="preserve">samples </w:t>
      </w:r>
      <w:r w:rsidR="00271DB5" w:rsidRPr="00271DB5">
        <w:rPr>
          <w:noProof/>
          <w:lang w:val="en-US"/>
        </w:rPr>
        <w:t>A3127388 and B3127388</w:t>
      </w:r>
      <w:r w:rsidR="00271DB5">
        <w:rPr>
          <w:noProof/>
          <w:lang w:val="en-US"/>
        </w:rPr>
        <w:t xml:space="preserve"> should be considered nega</w:t>
      </w:r>
      <w:r w:rsidR="006076D8">
        <w:rPr>
          <w:noProof/>
          <w:lang w:val="en-US"/>
        </w:rPr>
        <w:t>t</w:t>
      </w:r>
      <w:r w:rsidR="00271DB5">
        <w:rPr>
          <w:noProof/>
          <w:lang w:val="en-US"/>
        </w:rPr>
        <w:t>ive</w:t>
      </w:r>
      <w:r w:rsidR="006076D8">
        <w:rPr>
          <w:noProof/>
          <w:lang w:val="en-US"/>
        </w:rPr>
        <w:t>,</w:t>
      </w:r>
      <w:r w:rsidR="00271DB5">
        <w:rPr>
          <w:noProof/>
          <w:lang w:val="en-US"/>
        </w:rPr>
        <w:t xml:space="preserve"> since the concentrations of the </w:t>
      </w:r>
      <w:r w:rsidR="00271DB5" w:rsidRPr="00271DB5">
        <w:rPr>
          <w:noProof/>
          <w:lang w:val="en-US"/>
        </w:rPr>
        <w:t xml:space="preserve">dihydroxylated metabolite of LGD-4033 (LGD-4033 diOH) </w:t>
      </w:r>
      <w:r w:rsidR="00271DB5">
        <w:rPr>
          <w:noProof/>
          <w:lang w:val="en-US"/>
        </w:rPr>
        <w:t xml:space="preserve">that have been </w:t>
      </w:r>
      <w:r w:rsidR="00271DB5" w:rsidRPr="00271DB5">
        <w:rPr>
          <w:noProof/>
          <w:lang w:val="en-US"/>
        </w:rPr>
        <w:t>detected</w:t>
      </w:r>
      <w:r w:rsidR="00271DB5">
        <w:rPr>
          <w:noProof/>
          <w:lang w:val="en-US"/>
        </w:rPr>
        <w:t xml:space="preserve"> </w:t>
      </w:r>
      <w:r w:rsidR="006076D8">
        <w:rPr>
          <w:noProof/>
          <w:lang w:val="en-US"/>
        </w:rPr>
        <w:t>(</w:t>
      </w:r>
      <w:r w:rsidR="006076D8" w:rsidRPr="006076D8">
        <w:rPr>
          <w:noProof/>
          <w:lang w:val="en-US"/>
        </w:rPr>
        <w:t>16 and 29 pg/m</w:t>
      </w:r>
      <w:r w:rsidR="006076D8">
        <w:rPr>
          <w:noProof/>
          <w:lang w:val="en-US"/>
        </w:rPr>
        <w:t>L, respectively)</w:t>
      </w:r>
      <w:r w:rsidR="006076D8" w:rsidRPr="006076D8">
        <w:rPr>
          <w:noProof/>
          <w:lang w:val="en-US"/>
        </w:rPr>
        <w:t xml:space="preserve"> </w:t>
      </w:r>
      <w:r w:rsidR="00271DB5">
        <w:rPr>
          <w:noProof/>
          <w:lang w:val="en-US"/>
        </w:rPr>
        <w:t>are too low to safely indicate the presence of any prohibited substance.</w:t>
      </w:r>
      <w:r w:rsidR="00777AE5">
        <w:rPr>
          <w:noProof/>
          <w:lang w:val="en-US"/>
        </w:rPr>
        <w:t xml:space="preserve"> </w:t>
      </w:r>
    </w:p>
    <w:p w:rsidR="009D5B24" w:rsidRDefault="00777AE5" w:rsidP="006076D8">
      <w:pPr>
        <w:jc w:val="both"/>
        <w:rPr>
          <w:noProof/>
          <w:lang w:val="en-US"/>
        </w:rPr>
      </w:pPr>
      <w:r>
        <w:rPr>
          <w:noProof/>
          <w:lang w:val="en-US"/>
        </w:rPr>
        <w:t>T</w:t>
      </w:r>
      <w:r w:rsidR="006076D8">
        <w:rPr>
          <w:noProof/>
          <w:lang w:val="en-US"/>
        </w:rPr>
        <w:t>his is because t</w:t>
      </w:r>
      <w:r>
        <w:rPr>
          <w:noProof/>
          <w:lang w:val="en-US"/>
        </w:rPr>
        <w:t xml:space="preserve">he </w:t>
      </w:r>
      <w:r w:rsidR="00671293">
        <w:rPr>
          <w:noProof/>
          <w:lang w:val="en-US"/>
        </w:rPr>
        <w:t>l</w:t>
      </w:r>
      <w:r>
        <w:rPr>
          <w:noProof/>
          <w:lang w:val="en-US"/>
        </w:rPr>
        <w:t>aboratory that performed the analysis has stated in writing (see ema</w:t>
      </w:r>
      <w:r w:rsidR="006076D8">
        <w:rPr>
          <w:noProof/>
          <w:lang w:val="en-US"/>
        </w:rPr>
        <w:t xml:space="preserve">il message of September 10, 2019, from the lab Director to Prof. K. Poulas) </w:t>
      </w:r>
      <w:r>
        <w:rPr>
          <w:noProof/>
          <w:lang w:val="en-US"/>
        </w:rPr>
        <w:t xml:space="preserve">that </w:t>
      </w:r>
      <w:r w:rsidR="006076D8">
        <w:rPr>
          <w:noProof/>
          <w:lang w:val="en-US"/>
        </w:rPr>
        <w:t>“</w:t>
      </w:r>
      <w:r w:rsidR="006076D8" w:rsidRPr="006076D8">
        <w:rPr>
          <w:lang w:val="en-US"/>
        </w:rPr>
        <w:t>LOD for LGD-4033 (parent) is around 0.1 ng/mL</w:t>
      </w:r>
      <w:r w:rsidR="006076D8">
        <w:rPr>
          <w:lang w:val="en-US"/>
        </w:rPr>
        <w:t xml:space="preserve"> [..</w:t>
      </w:r>
      <w:r w:rsidR="006076D8" w:rsidRPr="006076D8">
        <w:rPr>
          <w:lang w:val="en-US"/>
        </w:rPr>
        <w:t>.</w:t>
      </w:r>
      <w:r w:rsidR="006076D8">
        <w:rPr>
          <w:lang w:val="en-US"/>
        </w:rPr>
        <w:t xml:space="preserve">] </w:t>
      </w:r>
      <w:r w:rsidR="006076D8" w:rsidRPr="006076D8">
        <w:rPr>
          <w:lang w:val="en-US"/>
        </w:rPr>
        <w:t>We have not determined the LOD of the di-hydroxylated metabolite</w:t>
      </w:r>
      <w:r w:rsidR="006076D8">
        <w:rPr>
          <w:lang w:val="en-US"/>
        </w:rPr>
        <w:t xml:space="preserve"> </w:t>
      </w:r>
      <w:r w:rsidR="006076D8" w:rsidRPr="006076D8">
        <w:rPr>
          <w:lang w:val="en-US"/>
        </w:rPr>
        <w:t>that is not commercially available. The di-hydroxylated metabolite is</w:t>
      </w:r>
      <w:r w:rsidR="006076D8">
        <w:rPr>
          <w:lang w:val="en-US"/>
        </w:rPr>
        <w:t xml:space="preserve"> </w:t>
      </w:r>
      <w:r w:rsidR="006076D8" w:rsidRPr="006076D8">
        <w:rPr>
          <w:lang w:val="en-US"/>
        </w:rPr>
        <w:t>identified by comparison to the reference urine sample.  We have assumed an</w:t>
      </w:r>
      <w:r w:rsidR="006076D8">
        <w:rPr>
          <w:lang w:val="en-US"/>
        </w:rPr>
        <w:t xml:space="preserve"> </w:t>
      </w:r>
      <w:r w:rsidR="006076D8" w:rsidRPr="006076D8">
        <w:rPr>
          <w:lang w:val="en-US"/>
        </w:rPr>
        <w:t>equivalent response to the parent compound, which may be quite imprecise,</w:t>
      </w:r>
      <w:r w:rsidR="006076D8">
        <w:rPr>
          <w:lang w:val="en-US"/>
        </w:rPr>
        <w:t xml:space="preserve"> </w:t>
      </w:r>
      <w:r w:rsidR="006076D8" w:rsidRPr="006076D8">
        <w:rPr>
          <w:lang w:val="en-US"/>
        </w:rPr>
        <w:t>in order to be able to provide a number.</w:t>
      </w:r>
      <w:r w:rsidR="006076D8">
        <w:rPr>
          <w:lang w:val="en-US"/>
        </w:rPr>
        <w:t>”</w:t>
      </w:r>
      <w:r>
        <w:rPr>
          <w:noProof/>
          <w:lang w:val="en-US"/>
        </w:rPr>
        <w:t xml:space="preserve"> </w:t>
      </w:r>
    </w:p>
    <w:p w:rsidR="00536F57" w:rsidRDefault="006076D8" w:rsidP="006076D8">
      <w:pPr>
        <w:jc w:val="both"/>
        <w:rPr>
          <w:noProof/>
          <w:lang w:val="en-US"/>
        </w:rPr>
      </w:pPr>
      <w:r>
        <w:rPr>
          <w:noProof/>
          <w:lang w:val="en-US"/>
        </w:rPr>
        <w:t xml:space="preserve">From this </w:t>
      </w:r>
      <w:r w:rsidR="009D5B24">
        <w:rPr>
          <w:noProof/>
          <w:lang w:val="en-US"/>
        </w:rPr>
        <w:t xml:space="preserve">statement </w:t>
      </w:r>
      <w:r>
        <w:rPr>
          <w:noProof/>
          <w:lang w:val="en-US"/>
        </w:rPr>
        <w:t xml:space="preserve">it can be deduced that the LOD of </w:t>
      </w:r>
      <w:r w:rsidRPr="00271DB5">
        <w:rPr>
          <w:noProof/>
          <w:lang w:val="en-US"/>
        </w:rPr>
        <w:t>LGD-4033 diOH</w:t>
      </w:r>
      <w:r>
        <w:rPr>
          <w:noProof/>
          <w:lang w:val="en-US"/>
        </w:rPr>
        <w:t xml:space="preserve">, although not </w:t>
      </w:r>
      <w:r w:rsidR="00940FE0">
        <w:rPr>
          <w:noProof/>
          <w:lang w:val="en-US"/>
        </w:rPr>
        <w:t>precisely established</w:t>
      </w:r>
      <w:r w:rsidR="009D5B24">
        <w:rPr>
          <w:noProof/>
          <w:lang w:val="en-US"/>
        </w:rPr>
        <w:t xml:space="preserve"> by the </w:t>
      </w:r>
      <w:r w:rsidR="00671293">
        <w:rPr>
          <w:noProof/>
          <w:lang w:val="en-US"/>
        </w:rPr>
        <w:t>l</w:t>
      </w:r>
      <w:r w:rsidR="009D5B24">
        <w:rPr>
          <w:noProof/>
          <w:lang w:val="en-US"/>
        </w:rPr>
        <w:t>aboratory</w:t>
      </w:r>
      <w:r w:rsidR="00940FE0">
        <w:rPr>
          <w:noProof/>
          <w:lang w:val="en-US"/>
        </w:rPr>
        <w:t xml:space="preserve">, is also around </w:t>
      </w:r>
      <w:r w:rsidR="00940FE0" w:rsidRPr="006076D8">
        <w:rPr>
          <w:lang w:val="en-US"/>
        </w:rPr>
        <w:t>0.1 ng/mL</w:t>
      </w:r>
      <w:r w:rsidR="00940FE0">
        <w:rPr>
          <w:lang w:val="en-US"/>
        </w:rPr>
        <w:t xml:space="preserve">, or 100 </w:t>
      </w:r>
      <w:proofErr w:type="spellStart"/>
      <w:r w:rsidR="00940FE0">
        <w:rPr>
          <w:lang w:val="en-US"/>
        </w:rPr>
        <w:t>pg</w:t>
      </w:r>
      <w:proofErr w:type="spellEnd"/>
      <w:r w:rsidR="00940FE0">
        <w:rPr>
          <w:lang w:val="en-US"/>
        </w:rPr>
        <w:t>/</w:t>
      </w:r>
      <w:proofErr w:type="spellStart"/>
      <w:r w:rsidR="00940FE0">
        <w:rPr>
          <w:lang w:val="en-US"/>
        </w:rPr>
        <w:t>mL.</w:t>
      </w:r>
      <w:proofErr w:type="spellEnd"/>
      <w:r w:rsidR="00940FE0">
        <w:rPr>
          <w:lang w:val="en-US"/>
        </w:rPr>
        <w:t xml:space="preserve"> However, the concentrations detected in </w:t>
      </w:r>
      <w:r w:rsidR="00940FE0">
        <w:rPr>
          <w:noProof/>
          <w:lang w:val="en-US"/>
        </w:rPr>
        <w:t>John Kyriazis’s samples A and B are less than one-sixth and one-third the LOD, respectively. This simply means that the samples should be considered as not containing the alleged substance.</w:t>
      </w:r>
    </w:p>
    <w:p w:rsidR="00940FE0" w:rsidRDefault="00940FE0" w:rsidP="006076D8">
      <w:pPr>
        <w:jc w:val="both"/>
        <w:rPr>
          <w:noProof/>
          <w:lang w:val="en-US"/>
        </w:rPr>
      </w:pPr>
      <w:r>
        <w:rPr>
          <w:noProof/>
          <w:lang w:val="en-US"/>
        </w:rPr>
        <w:t>I remain at your disposal for any additional information or clarification.</w:t>
      </w:r>
    </w:p>
    <w:p w:rsidR="00940FE0" w:rsidRDefault="00940FE0" w:rsidP="006076D8">
      <w:pPr>
        <w:jc w:val="both"/>
        <w:rPr>
          <w:noProof/>
          <w:lang w:val="en-US"/>
        </w:rPr>
      </w:pPr>
    </w:p>
    <w:p w:rsidR="00940FE0" w:rsidRDefault="00940FE0" w:rsidP="006076D8">
      <w:pPr>
        <w:jc w:val="both"/>
        <w:rPr>
          <w:noProof/>
          <w:lang w:val="en-US"/>
        </w:rPr>
      </w:pPr>
      <w:r>
        <w:rPr>
          <w:noProof/>
          <w:lang w:val="en-US"/>
        </w:rPr>
        <w:t>Sincerely,</w:t>
      </w:r>
    </w:p>
    <w:p w:rsidR="00940FE0" w:rsidRDefault="00940FE0" w:rsidP="006076D8">
      <w:pPr>
        <w:jc w:val="both"/>
        <w:rPr>
          <w:noProof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408179" cy="1037846"/>
            <wp:effectExtent l="0" t="0" r="190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Μούγιος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9" cy="103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0E" w:rsidRPr="0016620E" w:rsidRDefault="0016620E" w:rsidP="0016620E">
      <w:pPr>
        <w:spacing w:after="0"/>
        <w:jc w:val="both"/>
        <w:rPr>
          <w:noProof/>
          <w:lang w:val="en-US"/>
        </w:rPr>
      </w:pPr>
      <w:r w:rsidRPr="0016620E">
        <w:rPr>
          <w:noProof/>
          <w:lang w:val="en-US"/>
        </w:rPr>
        <w:t>Vassilis Mougios, PhD, FECSS</w:t>
      </w:r>
    </w:p>
    <w:p w:rsidR="0016620E" w:rsidRPr="0016620E" w:rsidRDefault="0016620E" w:rsidP="0016620E">
      <w:pPr>
        <w:spacing w:after="0"/>
        <w:jc w:val="both"/>
        <w:rPr>
          <w:noProof/>
          <w:lang w:val="en-US"/>
        </w:rPr>
      </w:pPr>
      <w:r w:rsidRPr="0016620E">
        <w:rPr>
          <w:noProof/>
          <w:lang w:val="en-US"/>
        </w:rPr>
        <w:t>Professor of Exercise Biochemistry</w:t>
      </w:r>
    </w:p>
    <w:p w:rsidR="0016620E" w:rsidRPr="0016620E" w:rsidRDefault="0016620E" w:rsidP="0016620E">
      <w:pPr>
        <w:spacing w:after="0"/>
        <w:jc w:val="both"/>
        <w:rPr>
          <w:noProof/>
          <w:lang w:val="en-US"/>
        </w:rPr>
      </w:pPr>
      <w:r w:rsidRPr="0016620E">
        <w:rPr>
          <w:noProof/>
          <w:lang w:val="en-US"/>
        </w:rPr>
        <w:t>Director of the Laboratory of Evaluation of Human Biological Performance</w:t>
      </w:r>
    </w:p>
    <w:p w:rsidR="0016620E" w:rsidRPr="0016620E" w:rsidRDefault="0016620E" w:rsidP="0016620E">
      <w:pPr>
        <w:spacing w:after="0"/>
        <w:jc w:val="both"/>
        <w:rPr>
          <w:noProof/>
          <w:lang w:val="en-US"/>
        </w:rPr>
      </w:pPr>
      <w:r w:rsidRPr="0016620E">
        <w:rPr>
          <w:noProof/>
          <w:lang w:val="en-US"/>
        </w:rPr>
        <w:t>School of Physical Education and Sport Science at Thessaloniki</w:t>
      </w:r>
    </w:p>
    <w:p w:rsidR="00940FE0" w:rsidRPr="0016620E" w:rsidRDefault="0016620E" w:rsidP="0016620E">
      <w:pPr>
        <w:spacing w:after="0"/>
        <w:jc w:val="both"/>
        <w:rPr>
          <w:noProof/>
          <w:lang w:val="en-US"/>
        </w:rPr>
      </w:pPr>
      <w:r w:rsidRPr="0016620E">
        <w:rPr>
          <w:noProof/>
          <w:lang w:val="en-US"/>
        </w:rPr>
        <w:t>Aristotle University of Thessaloniki</w:t>
      </w:r>
    </w:p>
    <w:sectPr w:rsidR="00940FE0" w:rsidRPr="0016620E" w:rsidSect="00C676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86"/>
    <w:rsid w:val="00052975"/>
    <w:rsid w:val="0016620E"/>
    <w:rsid w:val="00217DF7"/>
    <w:rsid w:val="00271DB5"/>
    <w:rsid w:val="00536F57"/>
    <w:rsid w:val="006076D8"/>
    <w:rsid w:val="00671293"/>
    <w:rsid w:val="00710264"/>
    <w:rsid w:val="00777AE5"/>
    <w:rsid w:val="00801539"/>
    <w:rsid w:val="0082401D"/>
    <w:rsid w:val="008573F0"/>
    <w:rsid w:val="00940FE0"/>
    <w:rsid w:val="009D5B24"/>
    <w:rsid w:val="00B03986"/>
    <w:rsid w:val="00B55DAB"/>
    <w:rsid w:val="00C676D8"/>
    <w:rsid w:val="00C74BEB"/>
    <w:rsid w:val="00DA42EC"/>
    <w:rsid w:val="00E863C2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uiPriority w:val="99"/>
    <w:rsid w:val="00E863C2"/>
    <w:rPr>
      <w:rFonts w:cs="Times New Roman"/>
    </w:rPr>
  </w:style>
  <w:style w:type="paragraph" w:styleId="a3">
    <w:name w:val="No Spacing"/>
    <w:link w:val="Char"/>
    <w:uiPriority w:val="99"/>
    <w:qFormat/>
    <w:rsid w:val="00E863C2"/>
    <w:pPr>
      <w:spacing w:after="0" w:line="240" w:lineRule="auto"/>
    </w:pPr>
    <w:rPr>
      <w:rFonts w:ascii="Calibri" w:eastAsia="Times New Roman" w:hAnsi="Calibri" w:cs="Times New Roman"/>
      <w:lang w:val="de-DE"/>
    </w:rPr>
  </w:style>
  <w:style w:type="character" w:customStyle="1" w:styleId="Char">
    <w:name w:val="Χωρίς διάστιχο Char"/>
    <w:link w:val="a3"/>
    <w:uiPriority w:val="99"/>
    <w:locked/>
    <w:rsid w:val="00E863C2"/>
    <w:rPr>
      <w:rFonts w:ascii="Calibri" w:eastAsia="Times New Roman" w:hAnsi="Calibri" w:cs="Times New Roman"/>
      <w:lang w:val="de-DE"/>
    </w:rPr>
  </w:style>
  <w:style w:type="paragraph" w:styleId="a4">
    <w:name w:val="Balloon Text"/>
    <w:basedOn w:val="a"/>
    <w:link w:val="Char0"/>
    <w:uiPriority w:val="99"/>
    <w:semiHidden/>
    <w:unhideWhenUsed/>
    <w:rsid w:val="009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40FE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uiPriority w:val="99"/>
    <w:rsid w:val="00E863C2"/>
    <w:rPr>
      <w:rFonts w:cs="Times New Roman"/>
    </w:rPr>
  </w:style>
  <w:style w:type="paragraph" w:styleId="a3">
    <w:name w:val="No Spacing"/>
    <w:link w:val="Char"/>
    <w:uiPriority w:val="99"/>
    <w:qFormat/>
    <w:rsid w:val="00E863C2"/>
    <w:pPr>
      <w:spacing w:after="0" w:line="240" w:lineRule="auto"/>
    </w:pPr>
    <w:rPr>
      <w:rFonts w:ascii="Calibri" w:eastAsia="Times New Roman" w:hAnsi="Calibri" w:cs="Times New Roman"/>
      <w:lang w:val="de-DE"/>
    </w:rPr>
  </w:style>
  <w:style w:type="character" w:customStyle="1" w:styleId="Char">
    <w:name w:val="Χωρίς διάστιχο Char"/>
    <w:link w:val="a3"/>
    <w:uiPriority w:val="99"/>
    <w:locked/>
    <w:rsid w:val="00E863C2"/>
    <w:rPr>
      <w:rFonts w:ascii="Calibri" w:eastAsia="Times New Roman" w:hAnsi="Calibri" w:cs="Times New Roman"/>
      <w:lang w:val="de-DE"/>
    </w:rPr>
  </w:style>
  <w:style w:type="paragraph" w:styleId="a4">
    <w:name w:val="Balloon Text"/>
    <w:basedOn w:val="a"/>
    <w:link w:val="Char0"/>
    <w:uiPriority w:val="99"/>
    <w:semiHidden/>
    <w:unhideWhenUsed/>
    <w:rsid w:val="009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40F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Τάσος Θώμογλου</dc:creator>
  <cp:lastModifiedBy>Θωμάς Κυριαζής</cp:lastModifiedBy>
  <cp:revision>2</cp:revision>
  <dcterms:created xsi:type="dcterms:W3CDTF">2020-01-03T18:52:00Z</dcterms:created>
  <dcterms:modified xsi:type="dcterms:W3CDTF">2020-01-03T18:52:00Z</dcterms:modified>
</cp:coreProperties>
</file>